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Rule="auto"/>
        <w:rPr>
          <w:rFonts w:ascii="GFS Didot" w:cs="GFS Didot" w:eastAsia="GFS Didot" w:hAnsi="GFS Didot"/>
        </w:rPr>
      </w:pPr>
      <w:r w:rsidDel="00000000" w:rsidR="00000000" w:rsidRPr="00000000">
        <w:rPr>
          <w:rFonts w:ascii="GFS Didot" w:cs="GFS Didot" w:eastAsia="GFS Didot" w:hAnsi="GFS Didot"/>
          <w:b w:val="1"/>
          <w:sz w:val="32"/>
          <w:szCs w:val="32"/>
          <w:rtl w:val="0"/>
        </w:rPr>
        <w:t xml:space="preserve">Title</w:t>
      </w:r>
      <w:r w:rsidDel="00000000" w:rsidR="00000000" w:rsidRPr="00000000">
        <w:rPr>
          <w:rFonts w:ascii="GFS Didot" w:cs="GFS Didot" w:eastAsia="GFS Didot" w:hAnsi="GFS Didot"/>
          <w:rtl w:val="0"/>
        </w:rPr>
        <w:tab/>
      </w:r>
    </w:p>
    <w:p w:rsidR="00000000" w:rsidDel="00000000" w:rsidP="00000000" w:rsidRDefault="00000000" w:rsidRPr="00000000" w14:paraId="00000002">
      <w:pPr>
        <w:spacing w:after="240" w:before="0" w:lineRule="auto"/>
        <w:rPr>
          <w:rFonts w:ascii="GFS Didot" w:cs="GFS Didot" w:eastAsia="GFS Didot" w:hAnsi="GFS Didot"/>
        </w:rPr>
      </w:pPr>
      <w:r w:rsidDel="00000000" w:rsidR="00000000" w:rsidRPr="00000000">
        <w:rPr>
          <w:rFonts w:ascii="GFS Didot" w:cs="GFS Didot" w:eastAsia="GFS Didot" w:hAnsi="GFS Didot"/>
          <w:sz w:val="32"/>
          <w:szCs w:val="32"/>
          <w:rtl w:val="0"/>
        </w:rPr>
        <w:t xml:space="preserve">Subtitle</w:t>
      </w:r>
      <w:r w:rsidDel="00000000" w:rsidR="00000000" w:rsidRPr="00000000">
        <w:rPr>
          <w:rFonts w:ascii="GFS Didot" w:cs="GFS Didot" w:eastAsia="GFS Didot" w:hAnsi="GFS Didot"/>
          <w:rtl w:val="0"/>
        </w:rPr>
        <w:tab/>
        <w:tab/>
        <w:tab/>
        <w:tab/>
      </w:r>
    </w:p>
    <w:p w:rsidR="00000000" w:rsidDel="00000000" w:rsidP="00000000" w:rsidRDefault="00000000" w:rsidRPr="00000000" w14:paraId="00000003">
      <w:pPr>
        <w:spacing w:after="0" w:before="240" w:lineRule="auto"/>
        <w:rPr>
          <w:rFonts w:ascii="GFS Didot" w:cs="GFS Didot" w:eastAsia="GFS Didot" w:hAnsi="GFS Didot"/>
          <w:sz w:val="24"/>
          <w:szCs w:val="24"/>
        </w:rPr>
      </w:pPr>
      <w:r w:rsidDel="00000000" w:rsidR="00000000" w:rsidRPr="00000000">
        <w:rPr>
          <w:rFonts w:ascii="GFS Didot" w:cs="GFS Didot" w:eastAsia="GFS Didot" w:hAnsi="GFS Didot"/>
          <w:b w:val="1"/>
          <w:sz w:val="24"/>
          <w:szCs w:val="24"/>
          <w:rtl w:val="0"/>
        </w:rPr>
        <w:t xml:space="preserve">Name Surname, </w:t>
      </w:r>
      <w:r w:rsidDel="00000000" w:rsidR="00000000" w:rsidRPr="00000000">
        <w:rPr>
          <w:rFonts w:ascii="GFS Didot" w:cs="GFS Didot" w:eastAsia="GFS Didot" w:hAnsi="GFS Didot"/>
          <w:sz w:val="24"/>
          <w:szCs w:val="24"/>
          <w:rtl w:val="0"/>
        </w:rPr>
        <w:t xml:space="preserve">Affiliation</w:t>
      </w:r>
      <w:r w:rsidDel="00000000" w:rsidR="00000000" w:rsidRPr="00000000">
        <w:rPr>
          <w:rFonts w:ascii="GFS Didot" w:cs="GFS Didot" w:eastAsia="GFS Didot" w:hAnsi="GFS Didot"/>
          <w:sz w:val="24"/>
          <w:szCs w:val="24"/>
          <w:rtl w:val="0"/>
        </w:rPr>
        <w:t xml:space="preserve"> </w:t>
      </w:r>
    </w:p>
    <w:p w:rsidR="00000000" w:rsidDel="00000000" w:rsidP="00000000" w:rsidRDefault="00000000" w:rsidRPr="00000000" w14:paraId="00000004">
      <w:pPr>
        <w:spacing w:after="0" w:before="0" w:lineRule="auto"/>
        <w:rPr>
          <w:rFonts w:ascii="GFS Didot" w:cs="GFS Didot" w:eastAsia="GFS Didot" w:hAnsi="GFS Didot"/>
          <w:sz w:val="24"/>
          <w:szCs w:val="24"/>
        </w:rPr>
      </w:pPr>
      <w:r w:rsidDel="00000000" w:rsidR="00000000" w:rsidRPr="00000000">
        <w:rPr>
          <w:rFonts w:ascii="GFS Didot" w:cs="GFS Didot" w:eastAsia="GFS Didot" w:hAnsi="GFS Didot"/>
          <w:sz w:val="24"/>
          <w:szCs w:val="24"/>
          <w:rtl w:val="0"/>
        </w:rPr>
        <w:t xml:space="preserve">email address</w:t>
      </w:r>
    </w:p>
    <w:p w:rsidR="00000000" w:rsidDel="00000000" w:rsidP="00000000" w:rsidRDefault="00000000" w:rsidRPr="00000000" w14:paraId="00000005">
      <w:pPr>
        <w:spacing w:before="0" w:lineRule="auto"/>
        <w:rPr>
          <w:rFonts w:ascii="GFS Didot" w:cs="GFS Didot" w:eastAsia="GFS Didot" w:hAnsi="GFS Didot"/>
          <w:sz w:val="24"/>
          <w:szCs w:val="24"/>
        </w:rPr>
      </w:pPr>
      <w:r w:rsidDel="00000000" w:rsidR="00000000" w:rsidRPr="00000000">
        <w:rPr>
          <w:rFonts w:ascii="GFS Didot" w:cs="GFS Didot" w:eastAsia="GFS Didot" w:hAnsi="GFS Didot"/>
          <w:b w:val="1"/>
          <w:sz w:val="24"/>
          <w:szCs w:val="24"/>
          <w:rtl w:val="0"/>
        </w:rPr>
        <w:t xml:space="preserve">Name Surname, </w:t>
      </w:r>
      <w:r w:rsidDel="00000000" w:rsidR="00000000" w:rsidRPr="00000000">
        <w:rPr>
          <w:rFonts w:ascii="GFS Didot" w:cs="GFS Didot" w:eastAsia="GFS Didot" w:hAnsi="GFS Didot"/>
          <w:sz w:val="24"/>
          <w:szCs w:val="24"/>
          <w:rtl w:val="0"/>
        </w:rPr>
        <w:t xml:space="preserve">Affiliation </w:t>
      </w:r>
    </w:p>
    <w:p w:rsidR="00000000" w:rsidDel="00000000" w:rsidP="00000000" w:rsidRDefault="00000000" w:rsidRPr="00000000" w14:paraId="00000006">
      <w:pPr>
        <w:rPr>
          <w:rFonts w:ascii="GFS Didot" w:cs="GFS Didot" w:eastAsia="GFS Didot" w:hAnsi="GFS Didot"/>
          <w:sz w:val="24"/>
          <w:szCs w:val="24"/>
        </w:rPr>
      </w:pPr>
      <w:r w:rsidDel="00000000" w:rsidR="00000000" w:rsidRPr="00000000">
        <w:rPr>
          <w:rFonts w:ascii="GFS Didot" w:cs="GFS Didot" w:eastAsia="GFS Didot" w:hAnsi="GFS Didot"/>
          <w:sz w:val="24"/>
          <w:szCs w:val="24"/>
          <w:rtl w:val="0"/>
        </w:rPr>
        <w:t xml:space="preserve">email address</w:t>
      </w:r>
    </w:p>
    <w:p w:rsidR="00000000" w:rsidDel="00000000" w:rsidP="00000000" w:rsidRDefault="00000000" w:rsidRPr="00000000" w14:paraId="00000007">
      <w:pPr>
        <w:spacing w:after="240" w:before="0" w:lineRule="auto"/>
        <w:rPr>
          <w:rFonts w:ascii="GFS Didot" w:cs="GFS Didot" w:eastAsia="GFS Didot" w:hAnsi="GFS Didot"/>
          <w:color w:val="0000ff"/>
        </w:rPr>
      </w:pPr>
      <w:r w:rsidDel="00000000" w:rsidR="00000000" w:rsidRPr="00000000">
        <w:rPr>
          <w:rFonts w:ascii="GFS Didot" w:cs="GFS Didot" w:eastAsia="GFS Didot" w:hAnsi="GFS Didot"/>
          <w:color w:val="0000ff"/>
          <w:rtl w:val="0"/>
        </w:rPr>
        <w:t xml:space="preserve">[Add two lines as above for each co-author.]</w:t>
      </w:r>
      <w:r w:rsidDel="00000000" w:rsidR="00000000" w:rsidRPr="00000000">
        <w:rPr>
          <w:rtl w:val="0"/>
        </w:rPr>
      </w:r>
    </w:p>
    <w:p w:rsidR="00000000" w:rsidDel="00000000" w:rsidP="00000000" w:rsidRDefault="00000000" w:rsidRPr="00000000" w14:paraId="00000008">
      <w:pPr>
        <w:spacing w:after="0" w:before="240" w:lineRule="auto"/>
        <w:jc w:val="both"/>
        <w:rPr>
          <w:rFonts w:ascii="GFS Didot" w:cs="GFS Didot" w:eastAsia="GFS Didot" w:hAnsi="GFS Didot"/>
        </w:rPr>
      </w:pPr>
      <w:r w:rsidDel="00000000" w:rsidR="00000000" w:rsidRPr="00000000">
        <w:rPr>
          <w:rFonts w:ascii="GFS Didot" w:cs="GFS Didot" w:eastAsia="GFS Didot" w:hAnsi="GFS Didot"/>
          <w:rtl w:val="0"/>
        </w:rPr>
        <w:t xml:space="preserve">Lorem ipsum dolor sit amet, consectetur adipiscing elit. Proin scelerisque velit sit amet neque dapibus laoreet. Praesent mattis bibendum eros, tristique maximus enim…</w:t>
      </w:r>
    </w:p>
    <w:p w:rsidR="00000000" w:rsidDel="00000000" w:rsidP="00000000" w:rsidRDefault="00000000" w:rsidRPr="00000000" w14:paraId="00000009">
      <w:pPr>
        <w:spacing w:after="0" w:before="0" w:lineRule="auto"/>
        <w:ind w:firstLine="720"/>
        <w:jc w:val="both"/>
        <w:rPr>
          <w:rFonts w:ascii="GFS Didot" w:cs="GFS Didot" w:eastAsia="GFS Didot" w:hAnsi="GFS Didot"/>
        </w:rPr>
      </w:pPr>
      <w:r w:rsidDel="00000000" w:rsidR="00000000" w:rsidRPr="00000000">
        <w:rPr>
          <w:rFonts w:ascii="GFS Didot" w:cs="GFS Didot" w:eastAsia="GFS Didot" w:hAnsi="GFS Didot"/>
          <w:rtl w:val="0"/>
        </w:rPr>
        <w:t xml:space="preserve">Donec lacinia enim mi, id mattis erat semper sed. Nunc tincidunt lacinia odio vitae cursus. Vivamus posuere, felis in maximus viverra, mi neque vehicula nisl…</w:t>
        <w:tab/>
      </w:r>
    </w:p>
    <w:p w:rsidR="00000000" w:rsidDel="00000000" w:rsidP="00000000" w:rsidRDefault="00000000" w:rsidRPr="00000000" w14:paraId="0000000A">
      <w:pPr>
        <w:spacing w:after="0" w:before="0" w:lineRule="auto"/>
        <w:ind w:firstLine="720"/>
        <w:jc w:val="both"/>
        <w:rPr>
          <w:rFonts w:ascii="GFS Didot" w:cs="GFS Didot" w:eastAsia="GFS Didot" w:hAnsi="GFS Didot"/>
        </w:rPr>
      </w:pPr>
      <w:r w:rsidDel="00000000" w:rsidR="00000000" w:rsidRPr="00000000">
        <w:rPr>
          <w:rFonts w:ascii="GFS Didot" w:cs="GFS Didot" w:eastAsia="GFS Didot" w:hAnsi="GFS Didot"/>
          <w:rtl w:val="0"/>
        </w:rPr>
        <w:t xml:space="preserve">Nam tincidunt mi non purus sollicitudin, pharetra interdum libero faucibus. Duis et velit vehicula, aliquet nulla eget, euismod elit. Pellentesque…</w:t>
      </w:r>
    </w:p>
    <w:p w:rsidR="00000000" w:rsidDel="00000000" w:rsidP="00000000" w:rsidRDefault="00000000" w:rsidRPr="00000000" w14:paraId="0000000B">
      <w:pPr>
        <w:spacing w:after="240" w:before="0" w:lineRule="auto"/>
        <w:ind w:left="0" w:firstLine="0"/>
        <w:jc w:val="both"/>
        <w:rPr>
          <w:rFonts w:ascii="GFS Didot" w:cs="GFS Didot" w:eastAsia="GFS Didot" w:hAnsi="GFS Didot"/>
          <w:color w:val="0000ff"/>
        </w:rPr>
      </w:pPr>
      <w:r w:rsidDel="00000000" w:rsidR="00000000" w:rsidRPr="00000000">
        <w:rPr>
          <w:rFonts w:ascii="GFS Didot" w:cs="GFS Didot" w:eastAsia="GFS Didot" w:hAnsi="GFS Didot"/>
          <w:color w:val="0000ff"/>
          <w:rtl w:val="0"/>
        </w:rPr>
        <w:t xml:space="preserve">[The above abstract text should not exceed 1000 words.]</w:t>
      </w:r>
    </w:p>
    <w:p w:rsidR="00000000" w:rsidDel="00000000" w:rsidP="00000000" w:rsidRDefault="00000000" w:rsidRPr="00000000" w14:paraId="0000000C">
      <w:pPr>
        <w:spacing w:after="240" w:before="240" w:lineRule="auto"/>
        <w:jc w:val="both"/>
        <w:rPr>
          <w:rFonts w:ascii="GFS Didot" w:cs="GFS Didot" w:eastAsia="GFS Didot" w:hAnsi="GFS Didot"/>
          <w:i w:val="1"/>
          <w:sz w:val="20"/>
          <w:szCs w:val="20"/>
        </w:rPr>
      </w:pPr>
      <w:r w:rsidDel="00000000" w:rsidR="00000000" w:rsidRPr="00000000">
        <w:rPr>
          <w:rFonts w:ascii="GFS Didot" w:cs="GFS Didot" w:eastAsia="GFS Didot" w:hAnsi="GFS Didot"/>
          <w:i w:val="1"/>
          <w:sz w:val="20"/>
          <w:szCs w:val="20"/>
          <w:rtl w:val="0"/>
        </w:rPr>
        <w:t xml:space="preserve">References</w:t>
      </w:r>
    </w:p>
    <w:p w:rsidR="00000000" w:rsidDel="00000000" w:rsidP="00000000" w:rsidRDefault="00000000" w:rsidRPr="00000000" w14:paraId="0000000D">
      <w:pPr>
        <w:spacing w:after="0" w:before="240" w:lineRule="auto"/>
        <w:jc w:val="both"/>
        <w:rPr>
          <w:rFonts w:ascii="GFS Didot" w:cs="GFS Didot" w:eastAsia="GFS Didot" w:hAnsi="GFS Didot"/>
          <w:sz w:val="20"/>
          <w:szCs w:val="20"/>
        </w:rPr>
      </w:pPr>
      <w:r w:rsidDel="00000000" w:rsidR="00000000" w:rsidRPr="00000000">
        <w:rPr>
          <w:rFonts w:ascii="GFS Didot" w:cs="GFS Didot" w:eastAsia="GFS Didot" w:hAnsi="GFS Didot"/>
          <w:sz w:val="20"/>
          <w:szCs w:val="20"/>
          <w:rtl w:val="0"/>
        </w:rPr>
        <w:t xml:space="preserve">Author’s Surname, Author’s Name,</w:t>
      </w:r>
    </w:p>
    <w:p w:rsidR="00000000" w:rsidDel="00000000" w:rsidP="00000000" w:rsidRDefault="00000000" w:rsidRPr="00000000" w14:paraId="0000000E">
      <w:pPr>
        <w:spacing w:after="240" w:before="0" w:lineRule="auto"/>
        <w:jc w:val="both"/>
        <w:rPr>
          <w:rFonts w:ascii="GFS Didot" w:cs="GFS Didot" w:eastAsia="GFS Didot" w:hAnsi="GFS Didot"/>
          <w:sz w:val="20"/>
          <w:szCs w:val="20"/>
        </w:rPr>
      </w:pPr>
      <w:r w:rsidDel="00000000" w:rsidR="00000000" w:rsidRPr="00000000">
        <w:rPr>
          <w:rFonts w:ascii="GFS Didot" w:cs="GFS Didot" w:eastAsia="GFS Didot" w:hAnsi="GFS Didot"/>
          <w:sz w:val="20"/>
          <w:szCs w:val="20"/>
          <w:rtl w:val="0"/>
        </w:rPr>
        <w:t xml:space="preserve">Year</w:t>
        <w:tab/>
        <w:t xml:space="preserve">Title, etc.</w:t>
      </w:r>
    </w:p>
    <w:p w:rsidR="00000000" w:rsidDel="00000000" w:rsidP="00000000" w:rsidRDefault="00000000" w:rsidRPr="00000000" w14:paraId="0000000F">
      <w:pPr>
        <w:spacing w:before="0" w:lineRule="auto"/>
        <w:jc w:val="both"/>
        <w:rPr>
          <w:rFonts w:ascii="GFS Didot" w:cs="GFS Didot" w:eastAsia="GFS Didot" w:hAnsi="GFS Didot"/>
          <w:sz w:val="20"/>
          <w:szCs w:val="20"/>
        </w:rPr>
      </w:pPr>
      <w:r w:rsidDel="00000000" w:rsidR="00000000" w:rsidRPr="00000000">
        <w:rPr>
          <w:rFonts w:ascii="GFS Didot" w:cs="GFS Didot" w:eastAsia="GFS Didot" w:hAnsi="GFS Didot"/>
          <w:sz w:val="20"/>
          <w:szCs w:val="20"/>
          <w:rtl w:val="0"/>
        </w:rPr>
        <w:t xml:space="preserve">First Author’s Surname, First’s Author Name, Second Author’s Name Surname</w:t>
      </w:r>
    </w:p>
    <w:p w:rsidR="00000000" w:rsidDel="00000000" w:rsidP="00000000" w:rsidRDefault="00000000" w:rsidRPr="00000000" w14:paraId="00000010">
      <w:pPr>
        <w:spacing w:after="240" w:lineRule="auto"/>
        <w:jc w:val="both"/>
        <w:rPr>
          <w:rFonts w:ascii="GFS Didot" w:cs="GFS Didot" w:eastAsia="GFS Didot" w:hAnsi="GFS Didot"/>
          <w:sz w:val="20"/>
          <w:szCs w:val="20"/>
        </w:rPr>
      </w:pPr>
      <w:r w:rsidDel="00000000" w:rsidR="00000000" w:rsidRPr="00000000">
        <w:rPr>
          <w:rFonts w:ascii="GFS Didot" w:cs="GFS Didot" w:eastAsia="GFS Didot" w:hAnsi="GFS Didot"/>
          <w:sz w:val="20"/>
          <w:szCs w:val="20"/>
          <w:rtl w:val="0"/>
        </w:rPr>
        <w:t xml:space="preserve">Year</w:t>
        <w:tab/>
        <w:t xml:space="preserve">Title, etc.</w:t>
      </w:r>
    </w:p>
    <w:p w:rsidR="00000000" w:rsidDel="00000000" w:rsidP="00000000" w:rsidRDefault="00000000" w:rsidRPr="00000000" w14:paraId="00000011">
      <w:pPr>
        <w:spacing w:after="240" w:before="240" w:lineRule="auto"/>
        <w:jc w:val="both"/>
        <w:rPr>
          <w:rFonts w:ascii="GFS Didot" w:cs="GFS Didot" w:eastAsia="GFS Didot" w:hAnsi="GFS Didot"/>
          <w:color w:val="0000ff"/>
        </w:rPr>
      </w:pPr>
      <w:r w:rsidDel="00000000" w:rsidR="00000000" w:rsidRPr="00000000">
        <w:rPr>
          <w:rFonts w:ascii="GFS Didot" w:cs="GFS Didot" w:eastAsia="GFS Didot" w:hAnsi="GFS Didot"/>
          <w:color w:val="0000ff"/>
          <w:rtl w:val="0"/>
        </w:rPr>
        <w:t xml:space="preserve">[Max. 12 references - </w:t>
      </w:r>
      <w:r w:rsidDel="00000000" w:rsidR="00000000" w:rsidRPr="00000000">
        <w:rPr>
          <w:rFonts w:ascii="GFS Didot" w:cs="GFS Didot" w:eastAsia="GFS Didot" w:hAnsi="GFS Didot"/>
          <w:b w:val="1"/>
          <w:color w:val="0000ff"/>
          <w:rtl w:val="0"/>
        </w:rPr>
        <w:t xml:space="preserve">References guidelines</w:t>
      </w:r>
      <w:r w:rsidDel="00000000" w:rsidR="00000000" w:rsidRPr="00000000">
        <w:rPr>
          <w:rFonts w:ascii="GFS Didot" w:cs="GFS Didot" w:eastAsia="GFS Didot" w:hAnsi="GFS Didot"/>
          <w:color w:val="0000ff"/>
          <w:rtl w:val="0"/>
        </w:rPr>
        <w:t xml:space="preserve">:</w:t>
      </w:r>
    </w:p>
    <w:p w:rsidR="00000000" w:rsidDel="00000000" w:rsidP="00000000" w:rsidRDefault="00000000" w:rsidRPr="00000000" w14:paraId="00000012">
      <w:pPr>
        <w:spacing w:after="240" w:before="240" w:lineRule="auto"/>
        <w:jc w:val="both"/>
        <w:rPr>
          <w:rFonts w:ascii="GFS Didot" w:cs="GFS Didot" w:eastAsia="GFS Didot" w:hAnsi="GFS Didot"/>
          <w:color w:val="0000ff"/>
        </w:rPr>
      </w:pPr>
      <w:r w:rsidDel="00000000" w:rsidR="00000000" w:rsidRPr="00000000">
        <w:rPr>
          <w:rFonts w:ascii="GFS Didot" w:cs="GFS Didot" w:eastAsia="GFS Didot" w:hAnsi="GFS Didot"/>
          <w:color w:val="0000ff"/>
          <w:rtl w:val="0"/>
        </w:rPr>
        <w:t xml:space="preserve">References are cited in the text as follows: (Author, year) or Author (year). For citing page number(s), please use the following method: (Author, year, p. ...) or (Author, year, pp. ...-...). For two authors, please separate the authors’ surnames with a comma; if three or more authors, add “et al.” in italics after the first author’s name. E.g. (Bourdieu, Sayad, 1964, pp. 35-36), (Easterday et al., 1977).</w:t>
      </w:r>
    </w:p>
    <w:p w:rsidR="00000000" w:rsidDel="00000000" w:rsidP="00000000" w:rsidRDefault="00000000" w:rsidRPr="00000000" w14:paraId="00000013">
      <w:pPr>
        <w:spacing w:after="240" w:before="240" w:lineRule="auto"/>
        <w:jc w:val="both"/>
        <w:rPr>
          <w:rFonts w:ascii="GFS Didot" w:cs="GFS Didot" w:eastAsia="GFS Didot" w:hAnsi="GFS Didot"/>
          <w:color w:val="0000ff"/>
        </w:rPr>
      </w:pPr>
      <w:r w:rsidDel="00000000" w:rsidR="00000000" w:rsidRPr="00000000">
        <w:rPr>
          <w:rFonts w:ascii="GFS Didot" w:cs="GFS Didot" w:eastAsia="GFS Didot" w:hAnsi="GFS Didot"/>
          <w:color w:val="0000ff"/>
          <w:rtl w:val="0"/>
        </w:rPr>
        <w:t xml:space="preserve">List all entries cited in the abstract text in the “References” section at the end. List references in alphabetical order by author and year of publication. For the format, see examples below. </w:t>
      </w:r>
    </w:p>
    <w:p w:rsidR="00000000" w:rsidDel="00000000" w:rsidP="00000000" w:rsidRDefault="00000000" w:rsidRPr="00000000" w14:paraId="00000014">
      <w:pPr>
        <w:spacing w:after="0" w:before="240" w:lineRule="auto"/>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Bourdieu, Pierre, Abdelmalek Sayad</w:t>
      </w:r>
    </w:p>
    <w:p w:rsidR="00000000" w:rsidDel="00000000" w:rsidP="00000000" w:rsidRDefault="00000000" w:rsidRPr="00000000" w14:paraId="00000015">
      <w:pPr>
        <w:spacing w:after="0" w:before="0" w:lineRule="auto"/>
        <w:ind w:left="720.0000000000001" w:hanging="720.0000000000001"/>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1964</w:t>
        <w:tab/>
      </w:r>
      <w:r w:rsidDel="00000000" w:rsidR="00000000" w:rsidRPr="00000000">
        <w:rPr>
          <w:rFonts w:ascii="GFS Didot" w:cs="GFS Didot" w:eastAsia="GFS Didot" w:hAnsi="GFS Didot"/>
          <w:i w:val="1"/>
          <w:color w:val="0000ff"/>
          <w:sz w:val="20"/>
          <w:szCs w:val="20"/>
          <w:rtl w:val="0"/>
        </w:rPr>
        <w:t xml:space="preserve">Le déracinement: la crise de l’agriculture traditionnelle en Algérie</w:t>
      </w:r>
      <w:r w:rsidDel="00000000" w:rsidR="00000000" w:rsidRPr="00000000">
        <w:rPr>
          <w:rFonts w:ascii="GFS Didot" w:cs="GFS Didot" w:eastAsia="GFS Didot" w:hAnsi="GFS Didot"/>
          <w:color w:val="0000ff"/>
          <w:sz w:val="20"/>
          <w:szCs w:val="20"/>
          <w:rtl w:val="0"/>
        </w:rPr>
        <w:t xml:space="preserve">, Paris, Les éditions de Minuit.</w:t>
      </w:r>
    </w:p>
    <w:p w:rsidR="00000000" w:rsidDel="00000000" w:rsidP="00000000" w:rsidRDefault="00000000" w:rsidRPr="00000000" w14:paraId="00000016">
      <w:pPr>
        <w:spacing w:after="0" w:before="0" w:lineRule="auto"/>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Durkheim, Émile</w:t>
      </w:r>
    </w:p>
    <w:p w:rsidR="00000000" w:rsidDel="00000000" w:rsidP="00000000" w:rsidRDefault="00000000" w:rsidRPr="00000000" w14:paraId="00000017">
      <w:pPr>
        <w:spacing w:after="0" w:before="0" w:lineRule="auto"/>
        <w:ind w:left="720.0000000000001" w:hanging="720.0000000000001"/>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1999</w:t>
        <w:tab/>
      </w:r>
      <w:r w:rsidDel="00000000" w:rsidR="00000000" w:rsidRPr="00000000">
        <w:rPr>
          <w:rFonts w:ascii="GFS Didot" w:cs="GFS Didot" w:eastAsia="GFS Didot" w:hAnsi="GFS Didot"/>
          <w:i w:val="1"/>
          <w:color w:val="0000ff"/>
          <w:sz w:val="20"/>
          <w:szCs w:val="20"/>
          <w:rtl w:val="0"/>
        </w:rPr>
        <w:t xml:space="preserve">La divisione del lavoro sociale</w:t>
      </w:r>
      <w:r w:rsidDel="00000000" w:rsidR="00000000" w:rsidRPr="00000000">
        <w:rPr>
          <w:rFonts w:ascii="GFS Didot" w:cs="GFS Didot" w:eastAsia="GFS Didot" w:hAnsi="GFS Didot"/>
          <w:color w:val="0000ff"/>
          <w:sz w:val="20"/>
          <w:szCs w:val="20"/>
          <w:rtl w:val="0"/>
        </w:rPr>
        <w:t xml:space="preserve"> (1893), Milano, Edizioni di Comunità.</w:t>
      </w:r>
    </w:p>
    <w:p w:rsidR="00000000" w:rsidDel="00000000" w:rsidP="00000000" w:rsidRDefault="00000000" w:rsidRPr="00000000" w14:paraId="00000018">
      <w:pPr>
        <w:spacing w:after="0" w:before="0" w:lineRule="auto"/>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Katz, Jack</w:t>
      </w:r>
    </w:p>
    <w:p w:rsidR="00000000" w:rsidDel="00000000" w:rsidP="00000000" w:rsidRDefault="00000000" w:rsidRPr="00000000" w14:paraId="00000019">
      <w:pPr>
        <w:spacing w:after="0" w:before="0" w:lineRule="auto"/>
        <w:ind w:left="720.0000000000001" w:hanging="720.0000000000001"/>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2001</w:t>
        <w:tab/>
        <w:t xml:space="preserve">«From How to Why. On Luminous Description and Causal Inference in Ethnography (Part I)», in </w:t>
      </w:r>
      <w:r w:rsidDel="00000000" w:rsidR="00000000" w:rsidRPr="00000000">
        <w:rPr>
          <w:rFonts w:ascii="GFS Didot" w:cs="GFS Didot" w:eastAsia="GFS Didot" w:hAnsi="GFS Didot"/>
          <w:i w:val="1"/>
          <w:color w:val="0000ff"/>
          <w:sz w:val="20"/>
          <w:szCs w:val="20"/>
          <w:rtl w:val="0"/>
        </w:rPr>
        <w:t xml:space="preserve">Ethnography</w:t>
      </w:r>
      <w:r w:rsidDel="00000000" w:rsidR="00000000" w:rsidRPr="00000000">
        <w:rPr>
          <w:rFonts w:ascii="GFS Didot" w:cs="GFS Didot" w:eastAsia="GFS Didot" w:hAnsi="GFS Didot"/>
          <w:color w:val="0000ff"/>
          <w:sz w:val="20"/>
          <w:szCs w:val="20"/>
          <w:rtl w:val="0"/>
        </w:rPr>
        <w:t xml:space="preserve">, 2, 4, pp. 443-473.</w:t>
      </w:r>
    </w:p>
    <w:p w:rsidR="00000000" w:rsidDel="00000000" w:rsidP="00000000" w:rsidRDefault="00000000" w:rsidRPr="00000000" w14:paraId="0000001A">
      <w:pPr>
        <w:spacing w:after="0" w:before="0" w:lineRule="auto"/>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Lyon, David</w:t>
      </w:r>
    </w:p>
    <w:p w:rsidR="00000000" w:rsidDel="00000000" w:rsidP="00000000" w:rsidRDefault="00000000" w:rsidRPr="00000000" w14:paraId="0000001B">
      <w:pPr>
        <w:spacing w:after="0" w:before="0" w:lineRule="auto"/>
        <w:ind w:left="720.0000000000001" w:hanging="720.0000000000001"/>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2002 «Surveillance Studies: Understanding Visibility, Mobility and the Phenetic Fix», in </w:t>
      </w:r>
      <w:r w:rsidDel="00000000" w:rsidR="00000000" w:rsidRPr="00000000">
        <w:rPr>
          <w:rFonts w:ascii="GFS Didot" w:cs="GFS Didot" w:eastAsia="GFS Didot" w:hAnsi="GFS Didot"/>
          <w:i w:val="1"/>
          <w:color w:val="0000ff"/>
          <w:sz w:val="20"/>
          <w:szCs w:val="20"/>
          <w:rtl w:val="0"/>
        </w:rPr>
        <w:t xml:space="preserve">Surveillance &amp; Society</w:t>
      </w:r>
      <w:r w:rsidDel="00000000" w:rsidR="00000000" w:rsidRPr="00000000">
        <w:rPr>
          <w:rFonts w:ascii="GFS Didot" w:cs="GFS Didot" w:eastAsia="GFS Didot" w:hAnsi="GFS Didot"/>
          <w:color w:val="0000ff"/>
          <w:sz w:val="20"/>
          <w:szCs w:val="20"/>
          <w:rtl w:val="0"/>
        </w:rPr>
        <w:t xml:space="preserve">, 1, 1, pp. 1-7, www.surveillanceandsociety.org, visited 01\10\2007.</w:t>
      </w:r>
    </w:p>
    <w:p w:rsidR="00000000" w:rsidDel="00000000" w:rsidP="00000000" w:rsidRDefault="00000000" w:rsidRPr="00000000" w14:paraId="0000001C">
      <w:pPr>
        <w:spacing w:after="0" w:before="0" w:lineRule="auto"/>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Jefferson, Gail</w:t>
      </w:r>
    </w:p>
    <w:p w:rsidR="00000000" w:rsidDel="00000000" w:rsidP="00000000" w:rsidRDefault="00000000" w:rsidRPr="00000000" w14:paraId="0000001D">
      <w:pPr>
        <w:spacing w:after="0" w:before="0" w:lineRule="auto"/>
        <w:ind w:left="720.0000000000001" w:hanging="720.0000000000001"/>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2004</w:t>
        <w:tab/>
        <w:t xml:space="preserve">«Glossary of Transcript Symbols with an Introduction», in Gene Lerner (Ed.), </w:t>
      </w:r>
      <w:r w:rsidDel="00000000" w:rsidR="00000000" w:rsidRPr="00000000">
        <w:rPr>
          <w:rFonts w:ascii="GFS Didot" w:cs="GFS Didot" w:eastAsia="GFS Didot" w:hAnsi="GFS Didot"/>
          <w:i w:val="1"/>
          <w:color w:val="0000ff"/>
          <w:sz w:val="20"/>
          <w:szCs w:val="20"/>
          <w:rtl w:val="0"/>
        </w:rPr>
        <w:t xml:space="preserve">Conversation Analysis: Studies from the First Generation</w:t>
      </w:r>
      <w:r w:rsidDel="00000000" w:rsidR="00000000" w:rsidRPr="00000000">
        <w:rPr>
          <w:rFonts w:ascii="GFS Didot" w:cs="GFS Didot" w:eastAsia="GFS Didot" w:hAnsi="GFS Didot"/>
          <w:color w:val="0000ff"/>
          <w:sz w:val="20"/>
          <w:szCs w:val="20"/>
          <w:rtl w:val="0"/>
        </w:rPr>
        <w:t xml:space="preserve">, Amsterdam, Benjamins, pp. 13- 31.</w:t>
      </w:r>
    </w:p>
    <w:p w:rsidR="00000000" w:rsidDel="00000000" w:rsidP="00000000" w:rsidRDefault="00000000" w:rsidRPr="00000000" w14:paraId="0000001E">
      <w:pPr>
        <w:spacing w:after="0" w:before="0" w:lineRule="auto"/>
        <w:jc w:val="both"/>
        <w:rPr>
          <w:rFonts w:ascii="GFS Didot" w:cs="GFS Didot" w:eastAsia="GFS Didot" w:hAnsi="GFS Didot"/>
          <w:color w:val="0000ff"/>
          <w:sz w:val="20"/>
          <w:szCs w:val="20"/>
        </w:rPr>
      </w:pPr>
      <w:r w:rsidDel="00000000" w:rsidR="00000000" w:rsidRPr="00000000">
        <w:rPr>
          <w:rFonts w:ascii="GFS Didot" w:cs="GFS Didot" w:eastAsia="GFS Didot" w:hAnsi="GFS Didot"/>
          <w:color w:val="0000ff"/>
          <w:sz w:val="20"/>
          <w:szCs w:val="20"/>
          <w:rtl w:val="0"/>
        </w:rPr>
        <w:t xml:space="preserve">Sudnow, David (Ed.)</w:t>
      </w:r>
    </w:p>
    <w:p w:rsidR="00000000" w:rsidDel="00000000" w:rsidP="00000000" w:rsidRDefault="00000000" w:rsidRPr="00000000" w14:paraId="0000001F">
      <w:pPr>
        <w:spacing w:after="0" w:before="0" w:lineRule="auto"/>
        <w:ind w:left="720.0000000000001" w:hanging="720.0000000000001"/>
        <w:jc w:val="both"/>
        <w:rPr>
          <w:rFonts w:ascii="GFS Didot" w:cs="GFS Didot" w:eastAsia="GFS Didot" w:hAnsi="GFS Didot"/>
          <w:sz w:val="20"/>
          <w:szCs w:val="20"/>
        </w:rPr>
      </w:pPr>
      <w:r w:rsidDel="00000000" w:rsidR="00000000" w:rsidRPr="00000000">
        <w:rPr>
          <w:rFonts w:ascii="GFS Didot" w:cs="GFS Didot" w:eastAsia="GFS Didot" w:hAnsi="GFS Didot"/>
          <w:color w:val="0000ff"/>
          <w:sz w:val="20"/>
          <w:szCs w:val="20"/>
          <w:rtl w:val="0"/>
        </w:rPr>
        <w:t xml:space="preserve">1972</w:t>
        <w:tab/>
      </w:r>
      <w:r w:rsidDel="00000000" w:rsidR="00000000" w:rsidRPr="00000000">
        <w:rPr>
          <w:rFonts w:ascii="GFS Didot" w:cs="GFS Didot" w:eastAsia="GFS Didot" w:hAnsi="GFS Didot"/>
          <w:i w:val="1"/>
          <w:color w:val="0000ff"/>
          <w:sz w:val="20"/>
          <w:szCs w:val="20"/>
          <w:rtl w:val="0"/>
        </w:rPr>
        <w:t xml:space="preserve">Studies in Social Interaction</w:t>
      </w:r>
      <w:r w:rsidDel="00000000" w:rsidR="00000000" w:rsidRPr="00000000">
        <w:rPr>
          <w:rFonts w:ascii="GFS Didot" w:cs="GFS Didot" w:eastAsia="GFS Didot" w:hAnsi="GFS Didot"/>
          <w:color w:val="0000ff"/>
          <w:sz w:val="20"/>
          <w:szCs w:val="20"/>
          <w:rtl w:val="0"/>
        </w:rPr>
        <w:t xml:space="preserve">, New York, The Free Press.]</w:t>
      </w:r>
      <w:r w:rsidDel="00000000" w:rsidR="00000000" w:rsidRPr="00000000">
        <w:rPr>
          <w:rtl w:val="0"/>
        </w:rPr>
      </w:r>
    </w:p>
    <w:p w:rsidR="00000000" w:rsidDel="00000000" w:rsidP="00000000" w:rsidRDefault="00000000" w:rsidRPr="00000000" w14:paraId="00000020">
      <w:pPr>
        <w:rPr>
          <w:rFonts w:ascii="GFS Didot" w:cs="GFS Didot" w:eastAsia="GFS Didot" w:hAnsi="GFS Didot"/>
        </w:rPr>
      </w:pPr>
      <w:r w:rsidDel="00000000" w:rsidR="00000000" w:rsidRPr="00000000">
        <w:rPr>
          <w:rFonts w:ascii="GFS Didot" w:cs="GFS Didot" w:eastAsia="GFS Didot" w:hAnsi="GFS Didot"/>
          <w:rtl w:val="0"/>
        </w:rPr>
        <w:tab/>
        <w:tab/>
      </w:r>
    </w:p>
    <w:p w:rsidR="00000000" w:rsidDel="00000000" w:rsidP="00000000" w:rsidRDefault="00000000" w:rsidRPr="00000000" w14:paraId="00000021">
      <w:pPr>
        <w:spacing w:after="240" w:lineRule="auto"/>
        <w:ind w:left="720.0000000000001" w:hanging="720.0000000000001"/>
        <w:jc w:val="both"/>
        <w:rPr>
          <w:rFonts w:ascii="GFS Didot" w:cs="GFS Didot" w:eastAsia="GFS Didot" w:hAnsi="GFS Didot"/>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FS Dido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FSDido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